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220DE3" w:rsidRDefault="00D3704D" w:rsidP="00976A0F">
      <w:pPr>
        <w:spacing w:beforeLines="50" w:afterLines="50" w:line="400" w:lineRule="exact"/>
        <w:rPr>
          <w:sz w:val="24"/>
        </w:rPr>
      </w:pPr>
      <w:r w:rsidRPr="00220DE3">
        <w:rPr>
          <w:sz w:val="24"/>
        </w:rPr>
        <w:t>证券代码：</w:t>
      </w:r>
      <w:r w:rsidRPr="00220DE3">
        <w:rPr>
          <w:sz w:val="24"/>
        </w:rPr>
        <w:t xml:space="preserve">300232                                </w:t>
      </w:r>
      <w:r w:rsidRPr="00220DE3">
        <w:rPr>
          <w:sz w:val="24"/>
        </w:rPr>
        <w:t>证券简称：</w:t>
      </w:r>
      <w:proofErr w:type="gramStart"/>
      <w:r w:rsidRPr="00220DE3">
        <w:rPr>
          <w:sz w:val="24"/>
        </w:rPr>
        <w:t>洲明科技</w:t>
      </w:r>
      <w:proofErr w:type="gramEnd"/>
      <w:r w:rsidRPr="00220DE3">
        <w:rPr>
          <w:sz w:val="24"/>
        </w:rPr>
        <w:t xml:space="preserve"> </w:t>
      </w:r>
    </w:p>
    <w:p w:rsidR="00D3704D" w:rsidRPr="00220DE3" w:rsidRDefault="00E83A63" w:rsidP="00976A0F">
      <w:pPr>
        <w:spacing w:beforeLines="100" w:afterLines="100" w:line="400" w:lineRule="exact"/>
        <w:jc w:val="center"/>
        <w:rPr>
          <w:b/>
          <w:sz w:val="32"/>
          <w:szCs w:val="32"/>
        </w:rPr>
      </w:pPr>
      <w:r w:rsidRPr="00220DE3">
        <w:rPr>
          <w:b/>
          <w:sz w:val="32"/>
          <w:szCs w:val="32"/>
        </w:rPr>
        <w:t>深圳市</w:t>
      </w:r>
      <w:proofErr w:type="gramStart"/>
      <w:r w:rsidRPr="00220DE3">
        <w:rPr>
          <w:b/>
          <w:sz w:val="32"/>
          <w:szCs w:val="32"/>
        </w:rPr>
        <w:t>洲明科技</w:t>
      </w:r>
      <w:proofErr w:type="gramEnd"/>
      <w:r w:rsidRPr="00220DE3">
        <w:rPr>
          <w:b/>
          <w:sz w:val="32"/>
          <w:szCs w:val="32"/>
        </w:rPr>
        <w:t>股份有限公司投资者关系活动记录表</w:t>
      </w:r>
    </w:p>
    <w:p w:rsidR="00D3704D" w:rsidRPr="00220DE3" w:rsidRDefault="00D3704D" w:rsidP="00D3704D">
      <w:pPr>
        <w:spacing w:line="400" w:lineRule="exact"/>
        <w:rPr>
          <w:sz w:val="24"/>
        </w:rPr>
      </w:pPr>
      <w:r w:rsidRPr="00220DE3">
        <w:rPr>
          <w:sz w:val="24"/>
        </w:rPr>
        <w:t xml:space="preserve">                                                      </w:t>
      </w:r>
      <w:r w:rsidRPr="00220DE3">
        <w:rPr>
          <w:sz w:val="24"/>
        </w:rPr>
        <w:t>编号：</w:t>
      </w:r>
      <w:r w:rsidR="006F3FA6" w:rsidRPr="00220DE3">
        <w:rPr>
          <w:sz w:val="24"/>
        </w:rPr>
        <w:t>201</w:t>
      </w:r>
      <w:r w:rsidR="0010706A">
        <w:rPr>
          <w:rFonts w:hint="eastAsia"/>
          <w:sz w:val="24"/>
        </w:rPr>
        <w:t>9</w:t>
      </w:r>
      <w:r w:rsidR="00800382">
        <w:rPr>
          <w:sz w:val="24"/>
        </w:rPr>
        <w:t>-0</w:t>
      </w:r>
      <w:r w:rsidR="00976A0F">
        <w:rPr>
          <w:rFonts w:hint="eastAsia"/>
          <w:sz w:val="24"/>
        </w:rPr>
        <w:t>04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3307"/>
        <w:gridCol w:w="3307"/>
      </w:tblGrid>
      <w:tr w:rsidR="00D3704D" w:rsidRPr="00220DE3" w:rsidTr="008B460B">
        <w:trPr>
          <w:trHeight w:val="2555"/>
        </w:trPr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投资者关系活动类别</w:t>
            </w:r>
          </w:p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D3704D" w:rsidRPr="00220DE3" w:rsidRDefault="003E682F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特定对象调研</w:t>
            </w:r>
            <w:r w:rsidR="00337761" w:rsidRPr="00220DE3">
              <w:rPr>
                <w:sz w:val="24"/>
              </w:rPr>
              <w:t xml:space="preserve">      </w:t>
            </w:r>
            <w:r w:rsidR="006F3FA6" w:rsidRPr="00220DE3">
              <w:rPr>
                <w:sz w:val="24"/>
              </w:rPr>
              <w:t xml:space="preserve">  </w:t>
            </w:r>
            <w:r w:rsidR="00337761"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分析师会议</w:t>
            </w:r>
          </w:p>
          <w:p w:rsidR="00D3704D" w:rsidRPr="00220DE3" w:rsidRDefault="00655D0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媒体采访</w:t>
            </w:r>
            <w:r w:rsidR="00D3704D" w:rsidRPr="00220DE3">
              <w:rPr>
                <w:sz w:val="24"/>
              </w:rPr>
              <w:t xml:space="preserve">            □</w:t>
            </w:r>
            <w:r w:rsidR="00D3704D" w:rsidRPr="00220DE3">
              <w:rPr>
                <w:sz w:val="24"/>
              </w:rPr>
              <w:t>利润说明会</w:t>
            </w:r>
          </w:p>
          <w:p w:rsidR="00D3704D" w:rsidRPr="00220DE3" w:rsidRDefault="00D3704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新闻发布会</w:t>
            </w:r>
            <w:r w:rsidRPr="00220DE3">
              <w:rPr>
                <w:sz w:val="24"/>
              </w:rPr>
              <w:t xml:space="preserve">          □</w:t>
            </w:r>
            <w:r w:rsidRPr="00220DE3">
              <w:rPr>
                <w:sz w:val="24"/>
              </w:rPr>
              <w:t>路演活动</w:t>
            </w:r>
          </w:p>
          <w:p w:rsidR="00D3704D" w:rsidRPr="00220DE3" w:rsidRDefault="00C03B2E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现场参观</w:t>
            </w:r>
            <w:r w:rsidR="00D3704D" w:rsidRPr="00220DE3">
              <w:rPr>
                <w:sz w:val="24"/>
              </w:rPr>
              <w:tab/>
            </w:r>
          </w:p>
          <w:p w:rsidR="00D3704D" w:rsidRPr="00220DE3" w:rsidRDefault="00D3704D" w:rsidP="008004CB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其他</w:t>
            </w:r>
            <w:r w:rsidRPr="00220DE3">
              <w:rPr>
                <w:sz w:val="24"/>
              </w:rPr>
              <w:t xml:space="preserve">  </w:t>
            </w:r>
          </w:p>
        </w:tc>
      </w:tr>
      <w:tr w:rsidR="008B460B" w:rsidRPr="00220DE3" w:rsidTr="008B460B">
        <w:trPr>
          <w:trHeight w:val="957"/>
        </w:trPr>
        <w:tc>
          <w:tcPr>
            <w:tcW w:w="1908" w:type="dxa"/>
          </w:tcPr>
          <w:p w:rsidR="008B460B" w:rsidRPr="00220DE3" w:rsidRDefault="008B460B" w:rsidP="004401A3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</w:tcPr>
          <w:p w:rsidR="000D77B3" w:rsidRDefault="00800382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国泰投信：蔡欣达</w:t>
            </w:r>
          </w:p>
          <w:p w:rsidR="00CE0C91" w:rsidRPr="000D77B3" w:rsidRDefault="00800382" w:rsidP="00246516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永丰投信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：</w:t>
            </w:r>
            <w:proofErr w:type="gramStart"/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林依蓉</w:t>
            </w:r>
            <w:proofErr w:type="gramEnd"/>
          </w:p>
        </w:tc>
        <w:tc>
          <w:tcPr>
            <w:tcW w:w="3307" w:type="dxa"/>
            <w:tcBorders>
              <w:left w:val="nil"/>
            </w:tcBorders>
          </w:tcPr>
          <w:p w:rsidR="000D77B3" w:rsidRDefault="00800382" w:rsidP="000D77B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台新投信：</w:t>
            </w:r>
            <w:proofErr w:type="gramStart"/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翁智信</w:t>
            </w:r>
            <w:proofErr w:type="gramEnd"/>
          </w:p>
          <w:p w:rsidR="00CE0C91" w:rsidRPr="00CE0C91" w:rsidRDefault="00800382" w:rsidP="000D77B3">
            <w:pPr>
              <w:spacing w:line="480" w:lineRule="atLeast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国金证券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陈婉成</w:t>
            </w:r>
          </w:p>
        </w:tc>
      </w:tr>
      <w:tr w:rsidR="00D3704D" w:rsidRPr="00220DE3" w:rsidTr="008004CB"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201</w:t>
            </w:r>
            <w:r w:rsidR="00CE0C91">
              <w:rPr>
                <w:rFonts w:hint="eastAsia"/>
                <w:sz w:val="24"/>
              </w:rPr>
              <w:t>9</w:t>
            </w:r>
            <w:r w:rsidRPr="00220DE3">
              <w:rPr>
                <w:sz w:val="24"/>
              </w:rPr>
              <w:t>年</w:t>
            </w:r>
            <w:r w:rsidR="00CE0C91">
              <w:rPr>
                <w:rFonts w:hint="eastAsia"/>
                <w:sz w:val="24"/>
              </w:rPr>
              <w:t>6</w:t>
            </w:r>
            <w:r w:rsidRPr="00220DE3">
              <w:rPr>
                <w:sz w:val="24"/>
              </w:rPr>
              <w:t>月</w:t>
            </w:r>
            <w:r w:rsidR="00800382">
              <w:rPr>
                <w:rFonts w:hint="eastAsia"/>
                <w:sz w:val="24"/>
              </w:rPr>
              <w:t>18</w:t>
            </w:r>
            <w:r w:rsidRPr="00220DE3">
              <w:rPr>
                <w:sz w:val="24"/>
              </w:rPr>
              <w:t>日</w:t>
            </w:r>
            <w:r w:rsidRPr="00220DE3">
              <w:rPr>
                <w:sz w:val="24"/>
              </w:rPr>
              <w:t xml:space="preserve"> </w:t>
            </w:r>
            <w:r w:rsidR="00E52E41" w:rsidRPr="00220DE3">
              <w:rPr>
                <w:sz w:val="24"/>
              </w:rPr>
              <w:t>1</w:t>
            </w:r>
            <w:r w:rsidR="00CE0C91">
              <w:rPr>
                <w:rFonts w:hint="eastAsia"/>
                <w:sz w:val="24"/>
              </w:rPr>
              <w:t>3</w:t>
            </w:r>
            <w:r w:rsidR="00EC1D56" w:rsidRPr="00220DE3">
              <w:rPr>
                <w:sz w:val="24"/>
              </w:rPr>
              <w:t>:</w:t>
            </w:r>
            <w:r w:rsidR="00800382">
              <w:rPr>
                <w:rFonts w:hint="eastAsia"/>
                <w:sz w:val="24"/>
              </w:rPr>
              <w:t>3</w:t>
            </w:r>
            <w:r w:rsidR="00E52E41" w:rsidRPr="00220DE3">
              <w:rPr>
                <w:sz w:val="24"/>
              </w:rPr>
              <w:t>0</w:t>
            </w:r>
            <w:r w:rsidR="00EC1D56" w:rsidRPr="00220DE3">
              <w:rPr>
                <w:sz w:val="24"/>
              </w:rPr>
              <w:t>-1</w:t>
            </w:r>
            <w:r w:rsidR="00CE0C91">
              <w:rPr>
                <w:rFonts w:hint="eastAsia"/>
                <w:sz w:val="24"/>
              </w:rPr>
              <w:t>5</w:t>
            </w:r>
            <w:r w:rsidR="00EC1D56" w:rsidRPr="00220DE3">
              <w:rPr>
                <w:sz w:val="24"/>
              </w:rPr>
              <w:t>:</w:t>
            </w:r>
            <w:r w:rsidR="00800382">
              <w:rPr>
                <w:rFonts w:hint="eastAsia"/>
                <w:sz w:val="24"/>
              </w:rPr>
              <w:t>0</w:t>
            </w:r>
            <w:r w:rsidR="00EC1D56" w:rsidRPr="00220DE3">
              <w:rPr>
                <w:sz w:val="24"/>
              </w:rPr>
              <w:t>0</w:t>
            </w:r>
          </w:p>
        </w:tc>
      </w:tr>
      <w:tr w:rsidR="00D3704D" w:rsidRPr="00220DE3" w:rsidTr="008004CB">
        <w:trPr>
          <w:trHeight w:val="380"/>
        </w:trPr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</w:tcPr>
          <w:p w:rsidR="00D3704D" w:rsidRPr="00220DE3" w:rsidRDefault="00EC1D56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公司福永总部</w:t>
            </w:r>
            <w:r w:rsidR="00C03B2E">
              <w:rPr>
                <w:sz w:val="24"/>
              </w:rPr>
              <w:t>1</w:t>
            </w:r>
            <w:r w:rsidRPr="00220DE3">
              <w:rPr>
                <w:sz w:val="24"/>
              </w:rPr>
              <w:t>楼会议室</w:t>
            </w:r>
          </w:p>
        </w:tc>
      </w:tr>
      <w:tr w:rsidR="00D3704D" w:rsidRPr="00220DE3" w:rsidTr="008004CB">
        <w:tc>
          <w:tcPr>
            <w:tcW w:w="1908" w:type="dxa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</w:tcPr>
          <w:p w:rsidR="002C6D5F" w:rsidRPr="00220DE3" w:rsidRDefault="008E4409" w:rsidP="00A66C38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投资者关系总监</w:t>
            </w:r>
            <w:r>
              <w:rPr>
                <w:rFonts w:hint="eastAsia"/>
                <w:sz w:val="24"/>
              </w:rPr>
              <w:t>/</w:t>
            </w:r>
            <w:r w:rsidR="00A66C38" w:rsidRPr="00220DE3">
              <w:rPr>
                <w:sz w:val="24"/>
              </w:rPr>
              <w:t>证券事务代表袁瑜珠</w:t>
            </w:r>
            <w:r w:rsidR="003D2F62">
              <w:rPr>
                <w:rFonts w:hint="eastAsia"/>
                <w:sz w:val="24"/>
              </w:rPr>
              <w:t>、投资者关系经理黄靖</w:t>
            </w:r>
          </w:p>
        </w:tc>
      </w:tr>
      <w:tr w:rsidR="00D3704D" w:rsidRPr="00220DE3" w:rsidTr="008004CB">
        <w:trPr>
          <w:trHeight w:val="699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CE41C4" w:rsidRPr="00CE41C4" w:rsidRDefault="00CE41C4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本次投资者关系活动以现场参观</w:t>
            </w:r>
            <w:r w:rsidR="00A43A8D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及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会议交流的方式进行。首先，投资者在接待人员的带领下参观了公司展厅，了解了公司的发展历程、主要产品及经营现状。随后接待人员与来访者进行了沟通交流，主要内容如下：</w:t>
            </w:r>
          </w:p>
          <w:p w:rsidR="00156372" w:rsidRPr="00CE0C91" w:rsidRDefault="00156372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一、</w:t>
            </w:r>
            <w:r w:rsidR="00AC558E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经营情况的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讨论分析</w:t>
            </w:r>
          </w:p>
          <w:p w:rsidR="00AC558E" w:rsidRDefault="0015637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1</w:t>
            </w: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</w:t>
            </w:r>
            <w:r w:rsid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公司简介</w:t>
            </w:r>
          </w:p>
          <w:p w:rsidR="00AC558E" w:rsidRDefault="00AC558E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股份有限公司于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2004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年成立，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2011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年创业板上市，是一家全球领先的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应用产品与解决方案供应商。公司目前已形成了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照明两大业务板块，集团母公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司洲明科技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携手各控参股子公司专注于小间距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显示屏、租赁类显示屏、体育类显示屏、创意类显示屏、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固装类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显示屏、传媒类显示屏、标识标牌、智慧城市照明服务、文创灯光布局等业务领域。公司始终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秉承着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“显示光彩世界，照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明幸福生活”的企业愿景，致力于构建显示与照明协同发展的产业资本平台，为城市光环境提供智能化、信息化、一体化的解决方案与运营服务。</w:t>
            </w:r>
          </w:p>
          <w:p w:rsidR="00156372" w:rsidRPr="00CE41C4" w:rsidRDefault="00AC558E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="000E453E"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018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和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年第一季度</w:t>
            </w:r>
            <w:r w:rsidR="000E453E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经营情况回顾</w:t>
            </w:r>
          </w:p>
          <w:p w:rsidR="00EF3080" w:rsidRDefault="00EF3080" w:rsidP="00EF308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年和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年第一季度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EF3080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下游应用市场不断拓展，行业依然维持高景气度。</w:t>
            </w:r>
          </w:p>
          <w:p w:rsidR="00EF3080" w:rsidRPr="00EF3080" w:rsidRDefault="00EF3080" w:rsidP="00EF308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年，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公司实现营业总收入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45.24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亿元，比上年同期增长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49.29%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；实现净利润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4.26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亿元，与上年同期相比增长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48.19%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，归属于母公司所有者的净利润为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4.12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亿元，与上年同期相比增长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45.01%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156372" w:rsidRPr="00220DE3" w:rsidRDefault="00CE0C91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2019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1-3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月，公司实现营业总收入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11.18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30.09%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；净利润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0.79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49.03%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；归属于上市公司股东的净利润为</w:t>
            </w:r>
            <w:r w:rsidR="00241552">
              <w:rPr>
                <w:rFonts w:eastAsiaTheme="minorEastAsia"/>
                <w:color w:val="000000"/>
                <w:kern w:val="0"/>
                <w:sz w:val="24"/>
                <w:szCs w:val="24"/>
              </w:rPr>
              <w:t>0.82</w:t>
            </w:r>
            <w:r w:rsidR="00241552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元，较上年同期增长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56.65%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156372" w:rsidRPr="00CE41C4" w:rsidRDefault="00834958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3</w:t>
            </w:r>
            <w:r w:rsidR="00156372"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、小间距</w:t>
            </w:r>
            <w:r w:rsidR="00834CFC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业务情况介绍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018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公司积极参与平安城市、智慧城市的建设，以标杆项目、样板工程撬动全区域、全行业的快速渗透和立体化布局。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="00CE0C91"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公司在控制系统及解决方案上持续加大开发力度，充分结合客户需求，向更多应用场景的纵深方向拓展，为客户提供统一、便捷、高效的调度应用控制系统。在可视化解决方案领域，截至报告期末，公司已完成了通用可视化平台软件架构的初步搭建，并在十余个特定行业申请了可视化解决方案软件著作权，为行业可视化解决方案实现标准化交付奠定了坚实的基础。目前，公司的可视化解决方案在智慧公安、智慧交通、智慧人防等多个应用场景成功运行，在福建省公安厅、深圳市公安局、济宁市高新区公安分局以及常州市武进区人防项目等顺利交付。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海外市场方面，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公司积极推进最新的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小间距产品在欧美主要国家的认证工作，并与多家全球知名企业签订了全面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采购协议，深度布局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小间距在海外会议、高端零售</w:t>
            </w:r>
            <w:proofErr w:type="gramStart"/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等商显市场</w:t>
            </w:r>
            <w:proofErr w:type="gramEnd"/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。与国内市场不同，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小间距在海外市场的发展刚刚起步，在不久的将来，海外市场将掀起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小间距替代激光投影、广告机、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DLP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LCD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拼接屏等传统显示技术的应用热潮。公司将凭借知识产权优势、渠道优势、服务优势及人才优势尽享小间距快速增长的行业红利。</w:t>
            </w:r>
          </w:p>
          <w:p w:rsidR="00EF3080" w:rsidRDefault="00EF3080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</w:t>
            </w:r>
            <w:r w:rsidRPr="00EF308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年，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国内小间距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销售收入为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11.51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亿元，与去年同期相比增长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54.50%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；海外小间距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销售收入为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11.19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亿元，与去年同期相比增长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43.46%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。小间距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产品的销售收入占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显示屏板块销售收入的比重为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61.19%</w:t>
            </w:r>
            <w:r w:rsidR="00920444"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</w:t>
            </w:r>
          </w:p>
          <w:p w:rsidR="00037507" w:rsidRDefault="00834958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4</w:t>
            </w:r>
            <w:r w:rsidR="0003750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、照明业务情况介绍</w:t>
            </w:r>
          </w:p>
          <w:p w:rsidR="00037507" w:rsidRDefault="00920444" w:rsidP="0092044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智慧路灯方面，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公司自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2015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起对智慧路灯行业进行深度探索，深耕物联网行业，产品从外观设计到系统信息化集成坚持走自主研发路线，经过不断地产品改进和技术创新，已研发出第三代智慧路灯产品。公司产品具备包括智能调光、信号基站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WIFI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热点、信息发布、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RFID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、环境监测、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RGB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氛围灯、安防监控、语音广播、手机充电、一键求助、汽车充电、智能防盗在内的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12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大功能。公司通过自主研发的光环境管理平台，可解决市政资源重复浪费、数据独立且分散、联动协作不便等行业痛点，实现多资源联动，统一运营管理，帮助客户提高智能</w:t>
            </w:r>
            <w:proofErr w:type="gramStart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化决策</w:t>
            </w:r>
            <w:proofErr w:type="gramEnd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水平。此外，公司大力探索数据融合、边缘计算、人工智能等技术，可实现基于安防摄像头的人脸识别、车辆识别，以及基于边缘计算网关的自主管理等应用。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2015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年至今，公司的智慧路灯已经率先成功入驻多个著名景区和</w:t>
            </w:r>
            <w:proofErr w:type="gramStart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繁荣商</w:t>
            </w:r>
            <w:proofErr w:type="gramEnd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圈，如深圳市人民南路、深圳前海紫荆园、河南嵩山少林寺、深圳龙岗启迪协信科技园等，为智慧城市建设提供强大动力。</w:t>
            </w:r>
          </w:p>
          <w:p w:rsidR="00037507" w:rsidRPr="00220DE3" w:rsidRDefault="00920444" w:rsidP="000E2133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景观照明方面</w:t>
            </w:r>
            <w:r w:rsidR="00037507" w:rsidRPr="0003750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年以来，公司在景观照明业务重点关注项目管理、文创设计等方面。通过构建跨业</w:t>
            </w:r>
            <w:proofErr w:type="gramStart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t>领域的专业化项目运作及管理体系、整合设计团队、引进及培养行业专业</w:t>
            </w:r>
            <w:r w:rsidRPr="00920444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人才等方法不断夯实基础，对项目实行严格的风险控制，谨慎筛选优质项目，密切关注应收账款及现金流风险。同时，坚持以规划把握市场、以设计拿下工程、以工程实现利润、以运营实现利润的可持续性发展战略，打造集科技、艺术与文化相融一体的照明综合性解决方案。报告期内，公司先后完成了青岛上合峰会中青岛市亮化整治提升工程、长春市旧城更新改造夜景照明提升工程、恩施市清江流域美化亮化工程、深圳罗湖金三角金融商业核心区灯光夜景提升工程、长兴太湖博物馆亮化等设计、施工一体化项目。</w:t>
            </w:r>
          </w:p>
          <w:p w:rsidR="00DD65FF" w:rsidRPr="00CE0C91" w:rsidRDefault="00156372" w:rsidP="00CE0C91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二、</w:t>
            </w:r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投资者交流</w:t>
            </w:r>
            <w:bookmarkStart w:id="0" w:name="_GoBack"/>
            <w:bookmarkEnd w:id="0"/>
            <w:r w:rsidR="00DD65FF"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环节</w:t>
            </w:r>
          </w:p>
          <w:p w:rsidR="00156372" w:rsidRPr="00CE41C4" w:rsidRDefault="0080038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="00DD65FF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3E4B15" w:rsidRP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="003E4B15" w:rsidRP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</w:t>
            </w:r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应用领域主要在哪些方面？</w:t>
            </w:r>
            <w:r w:rsid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为何能持续保持较高的增速？公司对小间距</w:t>
            </w:r>
            <w:r w:rsidR="0063281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行业空间有多大</w:t>
            </w:r>
            <w:r w:rsidR="003E4B15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786820" w:rsidRDefault="00DD65FF" w:rsidP="00786820">
            <w:pPr>
              <w:spacing w:line="360" w:lineRule="auto"/>
              <w:ind w:firstLineChars="200" w:firstLine="480"/>
              <w:rPr>
                <w:rFonts w:hAnsi="Arial"/>
                <w:sz w:val="24"/>
                <w:szCs w:val="24"/>
              </w:rPr>
            </w:pPr>
            <w:r w:rsidRPr="00786820">
              <w:rPr>
                <w:rFonts w:hAnsi="Arial" w:hint="eastAsia"/>
                <w:sz w:val="24"/>
                <w:szCs w:val="24"/>
              </w:rPr>
              <w:t>回复：</w:t>
            </w:r>
            <w:r w:rsidR="00786820">
              <w:rPr>
                <w:rFonts w:hAnsi="Arial" w:hint="eastAsia"/>
                <w:sz w:val="24"/>
                <w:szCs w:val="24"/>
              </w:rPr>
              <w:t>小间距目前主要应用在专业显示和商业显示方面。</w:t>
            </w:r>
          </w:p>
          <w:p w:rsidR="00786820" w:rsidRPr="00786820" w:rsidRDefault="00786820" w:rsidP="00786820">
            <w:pPr>
              <w:spacing w:line="360" w:lineRule="auto"/>
              <w:ind w:firstLineChars="200" w:firstLine="480"/>
              <w:rPr>
                <w:rFonts w:hAnsi="Arial"/>
                <w:sz w:val="24"/>
                <w:szCs w:val="24"/>
              </w:rPr>
            </w:pPr>
            <w:r w:rsidRPr="00786820">
              <w:rPr>
                <w:rFonts w:hAnsi="Arial" w:hint="eastAsia"/>
                <w:sz w:val="24"/>
                <w:szCs w:val="24"/>
              </w:rPr>
              <w:t>专业显示领域，</w:t>
            </w:r>
            <w:r w:rsidRPr="00786820">
              <w:rPr>
                <w:rFonts w:hAnsi="Arial"/>
                <w:sz w:val="24"/>
                <w:szCs w:val="24"/>
              </w:rPr>
              <w:t>在智慧城市的建设热潮下，公安、交通、人防、能源、司法等作为城市运行的核心组成部分，对数据高清化、可视化的需求将持续涌现。根据公司的市场调研情况，以公安领域为例，目前国内主要城市的公安指挥中心仍以</w:t>
            </w:r>
            <w:r w:rsidRPr="00786820">
              <w:rPr>
                <w:rFonts w:hAnsi="Arial"/>
                <w:sz w:val="24"/>
                <w:szCs w:val="24"/>
              </w:rPr>
              <w:t>DLP</w:t>
            </w:r>
            <w:r w:rsidRPr="00786820">
              <w:rPr>
                <w:rFonts w:hAnsi="Arial"/>
                <w:sz w:val="24"/>
                <w:szCs w:val="24"/>
              </w:rPr>
              <w:t>、</w:t>
            </w:r>
            <w:r w:rsidRPr="00786820">
              <w:rPr>
                <w:rFonts w:hAnsi="Arial"/>
                <w:sz w:val="24"/>
                <w:szCs w:val="24"/>
              </w:rPr>
              <w:t>LCD</w:t>
            </w:r>
            <w:r w:rsidRPr="00786820">
              <w:rPr>
                <w:rFonts w:hAnsi="Arial"/>
                <w:sz w:val="24"/>
                <w:szCs w:val="24"/>
              </w:rPr>
              <w:t>拼接屏为主，小间距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的渗透率不足</w:t>
            </w:r>
            <w:r w:rsidRPr="00786820">
              <w:rPr>
                <w:rFonts w:hAnsi="Arial"/>
                <w:sz w:val="24"/>
                <w:szCs w:val="24"/>
              </w:rPr>
              <w:t>10%</w:t>
            </w:r>
            <w:r w:rsidRPr="00786820">
              <w:rPr>
                <w:rFonts w:hAnsi="Arial"/>
                <w:sz w:val="24"/>
                <w:szCs w:val="24"/>
              </w:rPr>
              <w:t>，未来小间距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在公安领域的渗透率有望提升至</w:t>
            </w:r>
            <w:r w:rsidRPr="00786820">
              <w:rPr>
                <w:rFonts w:hAnsi="Arial"/>
                <w:sz w:val="24"/>
                <w:szCs w:val="24"/>
              </w:rPr>
              <w:t>50%</w:t>
            </w:r>
            <w:r w:rsidRPr="00786820">
              <w:rPr>
                <w:rFonts w:hAnsi="Arial"/>
                <w:sz w:val="24"/>
                <w:szCs w:val="24"/>
              </w:rPr>
              <w:t>。全国现有的</w:t>
            </w:r>
            <w:r w:rsidRPr="00786820">
              <w:rPr>
                <w:rFonts w:hAnsi="Arial"/>
                <w:sz w:val="24"/>
                <w:szCs w:val="24"/>
              </w:rPr>
              <w:t>34</w:t>
            </w:r>
            <w:r w:rsidRPr="00786820">
              <w:rPr>
                <w:rFonts w:hAnsi="Arial"/>
                <w:sz w:val="24"/>
                <w:szCs w:val="24"/>
              </w:rPr>
              <w:t>个省级行政区域、</w:t>
            </w:r>
            <w:r w:rsidRPr="00786820">
              <w:rPr>
                <w:rFonts w:hAnsi="Arial"/>
                <w:sz w:val="24"/>
                <w:szCs w:val="24"/>
              </w:rPr>
              <w:t>420</w:t>
            </w:r>
            <w:r w:rsidRPr="00786820">
              <w:rPr>
                <w:rFonts w:hAnsi="Arial"/>
                <w:sz w:val="24"/>
                <w:szCs w:val="24"/>
              </w:rPr>
              <w:t>余个地级市、</w:t>
            </w:r>
            <w:r w:rsidRPr="00786820">
              <w:rPr>
                <w:rFonts w:hAnsi="Arial"/>
                <w:sz w:val="24"/>
                <w:szCs w:val="24"/>
              </w:rPr>
              <w:t>2,800</w:t>
            </w:r>
            <w:r w:rsidRPr="00786820">
              <w:rPr>
                <w:rFonts w:hAnsi="Arial"/>
                <w:sz w:val="24"/>
                <w:szCs w:val="24"/>
              </w:rPr>
              <w:t>余个区县，假设各省级、地市级、区县级的公安指挥中心均配备一块显示屏，根据屏体大小规格的不同，若小间距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显示屏购置标准分别为</w:t>
            </w:r>
            <w:r w:rsidRPr="00786820">
              <w:rPr>
                <w:rFonts w:hAnsi="Arial"/>
                <w:sz w:val="24"/>
                <w:szCs w:val="24"/>
              </w:rPr>
              <w:t>400</w:t>
            </w:r>
            <w:r w:rsidRPr="00786820">
              <w:rPr>
                <w:rFonts w:hAnsi="Arial"/>
                <w:sz w:val="24"/>
                <w:szCs w:val="24"/>
              </w:rPr>
              <w:t>万元、</w:t>
            </w:r>
            <w:r w:rsidRPr="00786820">
              <w:rPr>
                <w:rFonts w:hAnsi="Arial"/>
                <w:sz w:val="24"/>
                <w:szCs w:val="24"/>
              </w:rPr>
              <w:t>250</w:t>
            </w:r>
            <w:r w:rsidRPr="00786820">
              <w:rPr>
                <w:rFonts w:hAnsi="Arial"/>
                <w:sz w:val="24"/>
                <w:szCs w:val="24"/>
              </w:rPr>
              <w:t>万元、</w:t>
            </w:r>
            <w:r w:rsidRPr="00786820">
              <w:rPr>
                <w:rFonts w:hAnsi="Arial"/>
                <w:sz w:val="24"/>
                <w:szCs w:val="24"/>
              </w:rPr>
              <w:t>120</w:t>
            </w:r>
            <w:r w:rsidRPr="00786820">
              <w:rPr>
                <w:rFonts w:hAnsi="Arial"/>
                <w:sz w:val="24"/>
                <w:szCs w:val="24"/>
              </w:rPr>
              <w:t>万元，小间距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仅在公安指挥中心的市场规模可达</w:t>
            </w:r>
            <w:r w:rsidRPr="00786820">
              <w:rPr>
                <w:rFonts w:hAnsi="Arial"/>
                <w:sz w:val="24"/>
                <w:szCs w:val="24"/>
              </w:rPr>
              <w:t>22</w:t>
            </w:r>
            <w:r w:rsidRPr="00786820">
              <w:rPr>
                <w:rFonts w:hAnsi="Arial"/>
                <w:sz w:val="24"/>
                <w:szCs w:val="24"/>
              </w:rPr>
              <w:t>亿元</w:t>
            </w:r>
            <w:r w:rsidRPr="00786820">
              <w:rPr>
                <w:rFonts w:hAnsi="Arial"/>
                <w:sz w:val="24"/>
                <w:szCs w:val="24"/>
              </w:rPr>
              <w:footnoteReference w:id="1"/>
            </w:r>
            <w:r w:rsidRPr="00786820">
              <w:rPr>
                <w:rFonts w:hAnsi="Arial"/>
                <w:sz w:val="24"/>
                <w:szCs w:val="24"/>
              </w:rPr>
              <w:t>，而安防领域还可细分为治安、消防、交警、信访、经</w:t>
            </w:r>
            <w:proofErr w:type="gramStart"/>
            <w:r w:rsidRPr="00786820">
              <w:rPr>
                <w:rFonts w:hAnsi="Arial"/>
                <w:sz w:val="24"/>
                <w:szCs w:val="24"/>
              </w:rPr>
              <w:t>侦</w:t>
            </w:r>
            <w:proofErr w:type="gramEnd"/>
            <w:r w:rsidRPr="00786820">
              <w:rPr>
                <w:rFonts w:hAnsi="Arial"/>
                <w:sz w:val="24"/>
                <w:szCs w:val="24"/>
              </w:rPr>
              <w:t>、刑侦、特警等众多分支，小间距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仅在安防行业的市场规模就将超过</w:t>
            </w:r>
            <w:r w:rsidRPr="00786820">
              <w:rPr>
                <w:rFonts w:hAnsi="Arial"/>
                <w:sz w:val="24"/>
                <w:szCs w:val="24"/>
              </w:rPr>
              <w:t>100</w:t>
            </w:r>
            <w:r w:rsidRPr="00786820">
              <w:rPr>
                <w:rFonts w:hAnsi="Arial"/>
                <w:sz w:val="24"/>
                <w:szCs w:val="24"/>
              </w:rPr>
              <w:t>亿元。以此类推，小间距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在全国人防、交通、能源、军队等众多细分领域的整体市场空间将超过</w:t>
            </w:r>
            <w:r w:rsidRPr="00786820">
              <w:rPr>
                <w:rFonts w:hAnsi="Arial"/>
                <w:sz w:val="24"/>
                <w:szCs w:val="24"/>
              </w:rPr>
              <w:t>300</w:t>
            </w:r>
            <w:r w:rsidRPr="00786820">
              <w:rPr>
                <w:rFonts w:hAnsi="Arial"/>
                <w:sz w:val="24"/>
                <w:szCs w:val="24"/>
              </w:rPr>
              <w:t>亿元。此外，随着跨区域一</w:t>
            </w:r>
            <w:r w:rsidRPr="00786820">
              <w:rPr>
                <w:rFonts w:hAnsi="Arial"/>
                <w:sz w:val="24"/>
                <w:szCs w:val="24"/>
              </w:rPr>
              <w:lastRenderedPageBreak/>
              <w:t>体化管理、数据联控联播成为发展趋势，北京、上海、深圳、广州及重点城市的大型标杆项目对周边省、市、区将产生极大的辐射作用，从而促进小间距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在专业显示领域的渗透率不断提高。因此，公司认为小间距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显示屏未来的三至五年仍将保持</w:t>
            </w:r>
            <w:r w:rsidR="00041008">
              <w:rPr>
                <w:rFonts w:hAnsi="Arial" w:hint="eastAsia"/>
                <w:sz w:val="24"/>
                <w:szCs w:val="24"/>
              </w:rPr>
              <w:t>较快</w:t>
            </w:r>
            <w:r w:rsidRPr="00786820">
              <w:rPr>
                <w:rFonts w:hAnsi="Arial"/>
                <w:sz w:val="24"/>
                <w:szCs w:val="24"/>
              </w:rPr>
              <w:t>增长。</w:t>
            </w:r>
          </w:p>
          <w:p w:rsidR="003E4B15" w:rsidRPr="00786820" w:rsidRDefault="00786820" w:rsidP="00786820">
            <w:pPr>
              <w:spacing w:line="360" w:lineRule="auto"/>
              <w:ind w:firstLineChars="200" w:firstLine="480"/>
              <w:jc w:val="left"/>
              <w:rPr>
                <w:rFonts w:hAnsi="Arial"/>
                <w:sz w:val="24"/>
                <w:szCs w:val="24"/>
              </w:rPr>
            </w:pPr>
            <w:r>
              <w:rPr>
                <w:rFonts w:hAnsi="Arial" w:hint="eastAsia"/>
                <w:sz w:val="24"/>
                <w:szCs w:val="24"/>
              </w:rPr>
              <w:t>商业</w:t>
            </w:r>
            <w:r w:rsidRPr="00786820">
              <w:rPr>
                <w:rFonts w:hAnsi="Arial" w:hint="eastAsia"/>
                <w:sz w:val="24"/>
                <w:szCs w:val="24"/>
              </w:rPr>
              <w:t>显示方面，</w:t>
            </w:r>
            <w:r w:rsidRPr="00786820">
              <w:rPr>
                <w:rFonts w:hAnsi="Arial"/>
                <w:sz w:val="24"/>
                <w:szCs w:val="24"/>
              </w:rPr>
              <w:t>根据奥</w:t>
            </w:r>
            <w:proofErr w:type="gramStart"/>
            <w:r w:rsidRPr="00786820">
              <w:rPr>
                <w:rFonts w:hAnsi="Arial"/>
                <w:sz w:val="24"/>
                <w:szCs w:val="24"/>
              </w:rPr>
              <w:t>维云网数据</w:t>
            </w:r>
            <w:proofErr w:type="gramEnd"/>
            <w:r w:rsidRPr="00786820">
              <w:rPr>
                <w:rFonts w:hAnsi="Arial"/>
                <w:sz w:val="24"/>
                <w:szCs w:val="24"/>
              </w:rPr>
              <w:t>显示，</w:t>
            </w:r>
            <w:r w:rsidRPr="00786820">
              <w:rPr>
                <w:rFonts w:hAnsi="Arial"/>
                <w:sz w:val="24"/>
                <w:szCs w:val="24"/>
              </w:rPr>
              <w:t>2018</w:t>
            </w:r>
            <w:r w:rsidRPr="00786820">
              <w:rPr>
                <w:rFonts w:hAnsi="Arial"/>
                <w:sz w:val="24"/>
                <w:szCs w:val="24"/>
              </w:rPr>
              <w:t>年中国商用显示市场规模预计达</w:t>
            </w:r>
            <w:r w:rsidRPr="00786820">
              <w:rPr>
                <w:rFonts w:hAnsi="Arial"/>
                <w:sz w:val="24"/>
                <w:szCs w:val="24"/>
              </w:rPr>
              <w:t>766.4</w:t>
            </w:r>
            <w:r w:rsidRPr="00786820">
              <w:rPr>
                <w:rFonts w:hAnsi="Arial"/>
                <w:sz w:val="24"/>
                <w:szCs w:val="24"/>
              </w:rPr>
              <w:t>亿元，同比增长率达</w:t>
            </w:r>
            <w:r w:rsidRPr="00786820">
              <w:rPr>
                <w:rFonts w:hAnsi="Arial"/>
                <w:sz w:val="24"/>
                <w:szCs w:val="24"/>
              </w:rPr>
              <w:t>39.10%</w:t>
            </w:r>
            <w:r w:rsidRPr="00786820">
              <w:rPr>
                <w:rFonts w:hAnsi="Arial"/>
                <w:sz w:val="24"/>
                <w:szCs w:val="24"/>
              </w:rPr>
              <w:t>，其中小间距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的渗透率仅为</w:t>
            </w:r>
            <w:r w:rsidRPr="00786820">
              <w:rPr>
                <w:rFonts w:hAnsi="Arial"/>
                <w:sz w:val="24"/>
                <w:szCs w:val="24"/>
              </w:rPr>
              <w:t>8.7%</w:t>
            </w:r>
            <w:r w:rsidRPr="00786820">
              <w:rPr>
                <w:rFonts w:hAnsi="Arial"/>
                <w:sz w:val="24"/>
                <w:szCs w:val="24"/>
              </w:rPr>
              <w:t>，但增速高达</w:t>
            </w:r>
            <w:r w:rsidRPr="00786820">
              <w:rPr>
                <w:rFonts w:hAnsi="Arial"/>
                <w:sz w:val="24"/>
                <w:szCs w:val="24"/>
              </w:rPr>
              <w:t>76%</w:t>
            </w:r>
            <w:r w:rsidRPr="00786820">
              <w:rPr>
                <w:rFonts w:hAnsi="Arial"/>
                <w:sz w:val="24"/>
                <w:szCs w:val="24"/>
              </w:rPr>
              <w:t>。以会议市场为例，目前中国会议室数量为</w:t>
            </w:r>
            <w:r w:rsidRPr="00786820">
              <w:rPr>
                <w:rFonts w:hAnsi="Arial"/>
                <w:sz w:val="24"/>
                <w:szCs w:val="24"/>
              </w:rPr>
              <w:t>2,000</w:t>
            </w:r>
            <w:r w:rsidRPr="00786820">
              <w:rPr>
                <w:rFonts w:hAnsi="Arial"/>
                <w:sz w:val="24"/>
                <w:szCs w:val="24"/>
              </w:rPr>
              <w:t>万间左右，全球会议室</w:t>
            </w:r>
            <w:proofErr w:type="gramStart"/>
            <w:r w:rsidRPr="00786820">
              <w:rPr>
                <w:rFonts w:hAnsi="Arial"/>
                <w:sz w:val="24"/>
                <w:szCs w:val="24"/>
              </w:rPr>
              <w:t>数量超</w:t>
            </w:r>
            <w:proofErr w:type="gramEnd"/>
            <w:r w:rsidRPr="00786820">
              <w:rPr>
                <w:rFonts w:hAnsi="Arial"/>
                <w:sz w:val="24"/>
                <w:szCs w:val="24"/>
              </w:rPr>
              <w:t>1</w:t>
            </w:r>
            <w:r w:rsidRPr="00786820">
              <w:rPr>
                <w:rFonts w:hAnsi="Arial"/>
                <w:sz w:val="24"/>
                <w:szCs w:val="24"/>
              </w:rPr>
              <w:t>亿间，假设</w:t>
            </w:r>
            <w:r w:rsidRPr="00786820">
              <w:rPr>
                <w:rFonts w:hAnsi="Arial"/>
                <w:sz w:val="24"/>
                <w:szCs w:val="24"/>
              </w:rPr>
              <w:t>20</w:t>
            </w:r>
            <w:r w:rsidRPr="00786820">
              <w:rPr>
                <w:rFonts w:hAnsi="Arial"/>
                <w:sz w:val="24"/>
                <w:szCs w:val="24"/>
              </w:rPr>
              <w:t>人以上会议室占全部会议室的比例为</w:t>
            </w:r>
            <w:r w:rsidRPr="00786820">
              <w:rPr>
                <w:rFonts w:hAnsi="Arial"/>
                <w:sz w:val="24"/>
                <w:szCs w:val="24"/>
              </w:rPr>
              <w:t>5%</w:t>
            </w:r>
            <w:r w:rsidRPr="00786820">
              <w:rPr>
                <w:rFonts w:hAnsi="Arial"/>
                <w:sz w:val="24"/>
                <w:szCs w:val="24"/>
              </w:rPr>
              <w:t>，根据目前小间距</w:t>
            </w:r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在</w:t>
            </w:r>
            <w:proofErr w:type="gramStart"/>
            <w:r w:rsidRPr="00786820">
              <w:rPr>
                <w:rFonts w:hAnsi="Arial"/>
                <w:sz w:val="24"/>
                <w:szCs w:val="24"/>
              </w:rPr>
              <w:t>商显市场</w:t>
            </w:r>
            <w:proofErr w:type="gramEnd"/>
            <w:r w:rsidRPr="00786820">
              <w:rPr>
                <w:rFonts w:hAnsi="Arial"/>
                <w:sz w:val="24"/>
                <w:szCs w:val="24"/>
              </w:rPr>
              <w:t>的渗透率</w:t>
            </w:r>
            <w:r w:rsidRPr="00786820">
              <w:rPr>
                <w:rFonts w:hAnsi="Arial"/>
                <w:sz w:val="24"/>
                <w:szCs w:val="24"/>
              </w:rPr>
              <w:t>8.7%</w:t>
            </w:r>
            <w:r w:rsidRPr="00786820">
              <w:rPr>
                <w:rFonts w:hAnsi="Arial"/>
                <w:sz w:val="24"/>
                <w:szCs w:val="24"/>
              </w:rPr>
              <w:t>，若每块显示屏按</w:t>
            </w:r>
            <w:r w:rsidRPr="00786820">
              <w:rPr>
                <w:rFonts w:hAnsi="Arial"/>
                <w:sz w:val="24"/>
                <w:szCs w:val="24"/>
              </w:rPr>
              <w:t>30</w:t>
            </w:r>
            <w:r w:rsidRPr="00786820">
              <w:rPr>
                <w:rFonts w:hAnsi="Arial"/>
                <w:sz w:val="24"/>
                <w:szCs w:val="24"/>
              </w:rPr>
              <w:t>万元估算，则</w:t>
            </w:r>
            <w:bookmarkStart w:id="1" w:name="_Hlk4690740"/>
            <w:r w:rsidRPr="00786820">
              <w:rPr>
                <w:rFonts w:hAnsi="Arial"/>
                <w:sz w:val="24"/>
                <w:szCs w:val="24"/>
              </w:rPr>
              <w:t>LED</w:t>
            </w:r>
            <w:r w:rsidRPr="00786820">
              <w:rPr>
                <w:rFonts w:hAnsi="Arial"/>
                <w:sz w:val="24"/>
                <w:szCs w:val="24"/>
              </w:rPr>
              <w:t>小间距在中国会议室市场规模约为</w:t>
            </w:r>
            <w:r w:rsidRPr="00786820">
              <w:rPr>
                <w:rFonts w:hAnsi="Arial"/>
                <w:sz w:val="24"/>
                <w:szCs w:val="24"/>
              </w:rPr>
              <w:t>260</w:t>
            </w:r>
            <w:r w:rsidRPr="00786820">
              <w:rPr>
                <w:rFonts w:hAnsi="Arial"/>
                <w:sz w:val="24"/>
                <w:szCs w:val="24"/>
              </w:rPr>
              <w:t>亿元，全球会议室市场</w:t>
            </w:r>
            <w:proofErr w:type="gramStart"/>
            <w:r w:rsidRPr="00786820">
              <w:rPr>
                <w:rFonts w:hAnsi="Arial"/>
                <w:sz w:val="24"/>
                <w:szCs w:val="24"/>
              </w:rPr>
              <w:t>空间超</w:t>
            </w:r>
            <w:proofErr w:type="gramEnd"/>
            <w:r w:rsidRPr="00786820">
              <w:rPr>
                <w:rFonts w:hAnsi="Arial"/>
                <w:sz w:val="24"/>
                <w:szCs w:val="24"/>
              </w:rPr>
              <w:t>千亿。</w:t>
            </w:r>
            <w:bookmarkEnd w:id="1"/>
            <w:r w:rsidRPr="00786820">
              <w:rPr>
                <w:rFonts w:hAnsi="Arial"/>
                <w:sz w:val="24"/>
                <w:szCs w:val="24"/>
              </w:rPr>
              <w:t>随着成本的不断下降，加上新一轮技术创新革命的快速升级以及新场景、新应用、新体验的出现，商业显示市场规模将不断扩大。</w:t>
            </w:r>
          </w:p>
          <w:p w:rsidR="008C42B9" w:rsidRPr="00CE41C4" w:rsidRDefault="0080038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="008C42B9"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CB63F6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在智慧路灯方面未来是如何考虑的</w:t>
            </w:r>
            <w:r w:rsidR="00CB63F6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CB63F6" w:rsidRDefault="00041008" w:rsidP="00786820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将以智慧城市为落脚点，以灯联网为载体，在灯具内嵌入智能控制模块，结合物联网井盖、电子水尺等技术，最终实现智能照明、环境感知、无线通信、室内定位等多种功能，助力智慧城市高效管理和稳定运行。同时公司将依托产业链协同优势、研发优势、设计优势、平台优势和人才优势，持续加大市场投入，不断创新商业模式，与国内领先的</w:t>
            </w: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5G</w:t>
            </w:r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运营</w:t>
            </w:r>
            <w:proofErr w:type="gramStart"/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商保持</w:t>
            </w:r>
            <w:proofErr w:type="gramEnd"/>
            <w:r w:rsidRPr="00041008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紧密的合作伙伴关系，不断完善智慧路灯市场布局，打造样板工程，使智慧路灯业务成为公司未来新的利润增长点。</w:t>
            </w:r>
          </w:p>
          <w:p w:rsidR="00CB63F6" w:rsidRDefault="00800382" w:rsidP="00CB63F6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</w:t>
            </w:r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、电影</w:t>
            </w:r>
            <w:proofErr w:type="gramStart"/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屏市场</w:t>
            </w:r>
            <w:proofErr w:type="gramEnd"/>
            <w:r w:rsidR="00786820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空间有多大？公司在这方面布局如何？</w:t>
            </w:r>
          </w:p>
          <w:p w:rsidR="00C25FC1" w:rsidRDefault="00C25FC1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年初，国内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启用第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一块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电影屏，小间距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凭借其突出的显示效果和独特的观影体验开启了巨大的应用市场。根据中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商产业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研究院数据显示，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年中国银幕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数量超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块，同比增长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18.3%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，预计未来仍将维持较快的增长速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度。假设未来每年新增的电影银幕数量为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块，其中小间距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在电影银幕的渗透率为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，若每块</w:t>
            </w:r>
            <w:r w:rsidRPr="00C25FC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电影银幕的价格为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万元，则国内小间距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电影银幕每年的新增市场规模可达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亿元。假设在中国电影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60,000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块银幕的存量市场中，小间距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对传统电影屏的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替换率为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10%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，则国内小间距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电影银幕的替换市场规模可达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60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亿元。</w:t>
            </w:r>
          </w:p>
          <w:p w:rsidR="00786820" w:rsidRDefault="00C25FC1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公司积极布局电影屏市场，扎实推进针对影院特定应用场景的基础性研究，开发影院专用控制系统，推进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电影级光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、电、音效技术的验证与应用。同时，公司与第三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方专业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机构合作研发并正式推出</w:t>
            </w:r>
            <w:bookmarkStart w:id="2" w:name="_Hlk4690897"/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微晶光场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LED-3D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直视显示屏</w:t>
            </w:r>
            <w:bookmarkEnd w:id="2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，该产品可配合主流的圆偏振眼镜使用，具有强烈的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沉浸感，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3D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串扰度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&lt;1%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，无重影，无眩晕，并兼容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2D</w:t>
            </w:r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显示。该技术的</w:t>
            </w:r>
            <w:proofErr w:type="gramStart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成熟将</w:t>
            </w:r>
            <w:proofErr w:type="gramEnd"/>
            <w:r w:rsidRPr="00C25FC1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在影院、教育、文旅、医疗、展览展示等领域快速推广，为客户带来全新的交互体验。</w:t>
            </w:r>
          </w:p>
          <w:p w:rsidR="00800382" w:rsidRDefault="00800382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、目前公司产能利用情况如何？未来公司有何计划？</w:t>
            </w:r>
          </w:p>
          <w:p w:rsidR="00C25FC1" w:rsidRDefault="00800382" w:rsidP="00976A0F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目前公司</w:t>
            </w:r>
            <w:r w:rsid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已形成了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福永总部、坪山研发中心、大亚</w:t>
            </w:r>
            <w:proofErr w:type="gramStart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湾制造</w:t>
            </w:r>
            <w:proofErr w:type="gramEnd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中心的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铁三角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架构。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年，集团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显示屏的产能达到约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35</w:t>
            </w:r>
            <w:r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万平方米</w:t>
            </w:r>
            <w:r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/</w:t>
            </w:r>
            <w:r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</w:t>
            </w:r>
            <w:r w:rsidR="00061974"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产能利用率约为</w:t>
            </w:r>
            <w:r w:rsidR="00061974"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82.4%</w:t>
            </w:r>
            <w:r w:rsidR="00061974" w:rsidRPr="00976A0F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目前公司正紧锣密鼓地推进大亚湾二期生产基地的建设，预计二期满产后集团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显示屏产能可持续扩大，从而实现智能制造水平和生产效率的大幅度提升。届时，大亚</w:t>
            </w:r>
            <w:proofErr w:type="gramStart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湾产业</w:t>
            </w:r>
            <w:proofErr w:type="gramEnd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园将成为全球领先的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显示屏智能制造基地，为集团内各子公司协同一体、整体运营奠定坚实的产业基础。同时，为进一步巩固市场地位，持续打造行业领先的制造能力，满足公司发展战略的需要，公司将依据发展的实际情况分期投资</w:t>
            </w:r>
            <w:proofErr w:type="gramStart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建设洲明中山</w:t>
            </w:r>
            <w:proofErr w:type="gramEnd"/>
            <w:r w:rsidRPr="00976A0F">
              <w:rPr>
                <w:rFonts w:eastAsiaTheme="minorEastAsia"/>
                <w:color w:val="000000"/>
                <w:kern w:val="0"/>
                <w:sz w:val="24"/>
                <w:szCs w:val="24"/>
              </w:rPr>
              <w:t>智能制造基地项目，为未来三至五年产能提前布局。</w:t>
            </w:r>
          </w:p>
          <w:p w:rsidR="00800382" w:rsidRPr="00786820" w:rsidRDefault="00800382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3704D" w:rsidRPr="00CE41C4" w:rsidRDefault="00D3704D" w:rsidP="00CE41C4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接待过程中，公司接待人员与投资者进行了充分的交流与沟通，严格按照有关制度规定，没有出现未公开重大信息泄露</w:t>
            </w: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等情况，同时已按深交所要求签署调研《承诺书》。</w:t>
            </w:r>
          </w:p>
        </w:tc>
      </w:tr>
      <w:tr w:rsidR="00D3704D" w:rsidRPr="00220DE3" w:rsidTr="008004CB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无</w:t>
            </w:r>
          </w:p>
        </w:tc>
      </w:tr>
      <w:tr w:rsidR="00D3704D" w:rsidRPr="00220DE3" w:rsidTr="008004CB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</w:tcPr>
          <w:p w:rsidR="00D3704D" w:rsidRPr="00220DE3" w:rsidRDefault="00D3704D" w:rsidP="00732DE7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201</w:t>
            </w:r>
            <w:r w:rsidR="00786820">
              <w:rPr>
                <w:rFonts w:hint="eastAsia"/>
                <w:sz w:val="24"/>
                <w:szCs w:val="24"/>
              </w:rPr>
              <w:t>9</w:t>
            </w:r>
            <w:r w:rsidRPr="00220DE3">
              <w:rPr>
                <w:sz w:val="24"/>
                <w:szCs w:val="24"/>
              </w:rPr>
              <w:t>年</w:t>
            </w:r>
            <w:r w:rsidR="00786820">
              <w:rPr>
                <w:rFonts w:hint="eastAsia"/>
                <w:sz w:val="24"/>
                <w:szCs w:val="24"/>
              </w:rPr>
              <w:t>6</w:t>
            </w:r>
            <w:r w:rsidRPr="00220DE3">
              <w:rPr>
                <w:sz w:val="24"/>
                <w:szCs w:val="24"/>
              </w:rPr>
              <w:t>月</w:t>
            </w:r>
            <w:r w:rsidR="00800382">
              <w:rPr>
                <w:rFonts w:hint="eastAsia"/>
                <w:sz w:val="24"/>
                <w:szCs w:val="24"/>
              </w:rPr>
              <w:t>18</w:t>
            </w:r>
            <w:r w:rsidRPr="00220DE3">
              <w:rPr>
                <w:sz w:val="24"/>
                <w:szCs w:val="24"/>
              </w:rPr>
              <w:t>日</w:t>
            </w:r>
          </w:p>
        </w:tc>
      </w:tr>
    </w:tbl>
    <w:p w:rsidR="00E80235" w:rsidRPr="00220DE3" w:rsidRDefault="00E80235"/>
    <w:sectPr w:rsidR="00E80235" w:rsidRPr="00220DE3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CD5" w:rsidRDefault="00F54CD5" w:rsidP="00D3704D">
      <w:r>
        <w:separator/>
      </w:r>
    </w:p>
  </w:endnote>
  <w:endnote w:type="continuationSeparator" w:id="0">
    <w:p w:rsidR="00F54CD5" w:rsidRDefault="00F54CD5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CD5" w:rsidRDefault="00F54CD5" w:rsidP="00D3704D">
      <w:r>
        <w:separator/>
      </w:r>
    </w:p>
  </w:footnote>
  <w:footnote w:type="continuationSeparator" w:id="0">
    <w:p w:rsidR="00F54CD5" w:rsidRDefault="00F54CD5" w:rsidP="00D3704D">
      <w:r>
        <w:continuationSeparator/>
      </w:r>
    </w:p>
  </w:footnote>
  <w:footnote w:id="1">
    <w:p w:rsidR="00786820" w:rsidRDefault="00786820" w:rsidP="00786820">
      <w:pPr>
        <w:pStyle w:val="a9"/>
      </w:pPr>
      <w:r>
        <w:rPr>
          <w:rStyle w:val="aa"/>
        </w:rPr>
        <w:footnoteRef/>
      </w:r>
      <w:r>
        <w:t xml:space="preserve"> LED</w:t>
      </w:r>
      <w:r>
        <w:rPr>
          <w:rFonts w:hint="eastAsia"/>
        </w:rPr>
        <w:t>小间距显示屏在公安指挥中心市场规模</w:t>
      </w:r>
      <w:r>
        <w:t>=</w:t>
      </w:r>
      <w:r>
        <w:rPr>
          <w:rFonts w:hint="eastAsia"/>
        </w:rPr>
        <w:t>（省数</w:t>
      </w:r>
      <w:r>
        <w:t>*400</w:t>
      </w:r>
      <w:r>
        <w:rPr>
          <w:rFonts w:hint="eastAsia"/>
        </w:rPr>
        <w:t>万元</w:t>
      </w:r>
      <w:r>
        <w:t>+</w:t>
      </w:r>
      <w:r>
        <w:rPr>
          <w:rFonts w:hint="eastAsia"/>
        </w:rPr>
        <w:t>地级市数</w:t>
      </w:r>
      <w:r>
        <w:t>*250</w:t>
      </w:r>
      <w:r>
        <w:rPr>
          <w:rFonts w:hint="eastAsia"/>
        </w:rPr>
        <w:t>万元</w:t>
      </w:r>
      <w:r>
        <w:t>+</w:t>
      </w:r>
      <w:proofErr w:type="gramStart"/>
      <w:r>
        <w:rPr>
          <w:rFonts w:hint="eastAsia"/>
        </w:rPr>
        <w:t>区县数</w:t>
      </w:r>
      <w:proofErr w:type="gramEnd"/>
      <w:r>
        <w:t>*120</w:t>
      </w:r>
      <w:r>
        <w:rPr>
          <w:rFonts w:hint="eastAsia"/>
        </w:rPr>
        <w:t>万元）</w:t>
      </w:r>
      <w:r>
        <w:t>*</w:t>
      </w:r>
      <w:r>
        <w:rPr>
          <w:rFonts w:hint="eastAsia"/>
        </w:rPr>
        <w:t>渗透率</w:t>
      </w:r>
      <w:r>
        <w:t>50%</w:t>
      </w:r>
      <w:r>
        <w:rPr>
          <w:rFonts w:hint="eastAsia"/>
        </w:rPr>
        <w:t>（假设值）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00403"/>
    <w:rsid w:val="00011170"/>
    <w:rsid w:val="0001134B"/>
    <w:rsid w:val="0001351F"/>
    <w:rsid w:val="00016D7C"/>
    <w:rsid w:val="00030991"/>
    <w:rsid w:val="00037507"/>
    <w:rsid w:val="00041008"/>
    <w:rsid w:val="00041BD6"/>
    <w:rsid w:val="00045A41"/>
    <w:rsid w:val="00061974"/>
    <w:rsid w:val="000649C3"/>
    <w:rsid w:val="000846EC"/>
    <w:rsid w:val="0009257F"/>
    <w:rsid w:val="000963FF"/>
    <w:rsid w:val="00096BE5"/>
    <w:rsid w:val="000A0D04"/>
    <w:rsid w:val="000B65DE"/>
    <w:rsid w:val="000D0E7C"/>
    <w:rsid w:val="000D77B3"/>
    <w:rsid w:val="000E2133"/>
    <w:rsid w:val="000E453E"/>
    <w:rsid w:val="00100FB7"/>
    <w:rsid w:val="001011DA"/>
    <w:rsid w:val="0010706A"/>
    <w:rsid w:val="00116399"/>
    <w:rsid w:val="00120749"/>
    <w:rsid w:val="00122C12"/>
    <w:rsid w:val="001254C0"/>
    <w:rsid w:val="00136249"/>
    <w:rsid w:val="00136A3B"/>
    <w:rsid w:val="00140353"/>
    <w:rsid w:val="0014058E"/>
    <w:rsid w:val="00140ECE"/>
    <w:rsid w:val="0014748C"/>
    <w:rsid w:val="00156372"/>
    <w:rsid w:val="00157245"/>
    <w:rsid w:val="00163FC5"/>
    <w:rsid w:val="0018028C"/>
    <w:rsid w:val="001828EB"/>
    <w:rsid w:val="00190C9D"/>
    <w:rsid w:val="00191DBE"/>
    <w:rsid w:val="001A5A36"/>
    <w:rsid w:val="001C6DC4"/>
    <w:rsid w:val="001D2202"/>
    <w:rsid w:val="001D7175"/>
    <w:rsid w:val="001F59A5"/>
    <w:rsid w:val="002137E2"/>
    <w:rsid w:val="00216373"/>
    <w:rsid w:val="00220DE3"/>
    <w:rsid w:val="002264AA"/>
    <w:rsid w:val="0023289C"/>
    <w:rsid w:val="00241552"/>
    <w:rsid w:val="00241ED6"/>
    <w:rsid w:val="00246516"/>
    <w:rsid w:val="00256CBC"/>
    <w:rsid w:val="002633B7"/>
    <w:rsid w:val="00271450"/>
    <w:rsid w:val="00281C82"/>
    <w:rsid w:val="002910E9"/>
    <w:rsid w:val="002932A1"/>
    <w:rsid w:val="002A5EDA"/>
    <w:rsid w:val="002C249C"/>
    <w:rsid w:val="002C6D5F"/>
    <w:rsid w:val="002D5AAD"/>
    <w:rsid w:val="0030621B"/>
    <w:rsid w:val="00337761"/>
    <w:rsid w:val="00341941"/>
    <w:rsid w:val="00366D14"/>
    <w:rsid w:val="00370191"/>
    <w:rsid w:val="00370EE6"/>
    <w:rsid w:val="003C23EA"/>
    <w:rsid w:val="003D0B0D"/>
    <w:rsid w:val="003D2F62"/>
    <w:rsid w:val="003E4B15"/>
    <w:rsid w:val="003E682F"/>
    <w:rsid w:val="003E6CF9"/>
    <w:rsid w:val="003F018A"/>
    <w:rsid w:val="003F25B2"/>
    <w:rsid w:val="003F646B"/>
    <w:rsid w:val="0040131B"/>
    <w:rsid w:val="00414FA4"/>
    <w:rsid w:val="00416724"/>
    <w:rsid w:val="00421CAC"/>
    <w:rsid w:val="00422D27"/>
    <w:rsid w:val="004401A3"/>
    <w:rsid w:val="004422C1"/>
    <w:rsid w:val="0044659F"/>
    <w:rsid w:val="004511AD"/>
    <w:rsid w:val="0045503A"/>
    <w:rsid w:val="0046364D"/>
    <w:rsid w:val="00474CEB"/>
    <w:rsid w:val="004A0EBC"/>
    <w:rsid w:val="004B1809"/>
    <w:rsid w:val="004C4573"/>
    <w:rsid w:val="004F3751"/>
    <w:rsid w:val="00502D46"/>
    <w:rsid w:val="00511DA7"/>
    <w:rsid w:val="00527737"/>
    <w:rsid w:val="005277C8"/>
    <w:rsid w:val="005341CB"/>
    <w:rsid w:val="00573BB8"/>
    <w:rsid w:val="005743AA"/>
    <w:rsid w:val="005877C9"/>
    <w:rsid w:val="005A6924"/>
    <w:rsid w:val="005B4722"/>
    <w:rsid w:val="005B5582"/>
    <w:rsid w:val="005C1B38"/>
    <w:rsid w:val="005E0983"/>
    <w:rsid w:val="005E11B8"/>
    <w:rsid w:val="00605464"/>
    <w:rsid w:val="00605D21"/>
    <w:rsid w:val="00610675"/>
    <w:rsid w:val="00620656"/>
    <w:rsid w:val="00632814"/>
    <w:rsid w:val="00655D0D"/>
    <w:rsid w:val="00686726"/>
    <w:rsid w:val="00691AD0"/>
    <w:rsid w:val="006B6CA2"/>
    <w:rsid w:val="006C23DE"/>
    <w:rsid w:val="006D42A9"/>
    <w:rsid w:val="006D59F1"/>
    <w:rsid w:val="006E18AA"/>
    <w:rsid w:val="006F05CE"/>
    <w:rsid w:val="006F3FA6"/>
    <w:rsid w:val="0070033E"/>
    <w:rsid w:val="00716E3C"/>
    <w:rsid w:val="00727C04"/>
    <w:rsid w:val="00732DE7"/>
    <w:rsid w:val="007452C5"/>
    <w:rsid w:val="0076447D"/>
    <w:rsid w:val="00780261"/>
    <w:rsid w:val="00786820"/>
    <w:rsid w:val="0079782B"/>
    <w:rsid w:val="007B23C7"/>
    <w:rsid w:val="007B76EC"/>
    <w:rsid w:val="007D1609"/>
    <w:rsid w:val="007E49F6"/>
    <w:rsid w:val="007E77A7"/>
    <w:rsid w:val="00800382"/>
    <w:rsid w:val="008063AC"/>
    <w:rsid w:val="00812B86"/>
    <w:rsid w:val="00820EE8"/>
    <w:rsid w:val="00822259"/>
    <w:rsid w:val="00825D5E"/>
    <w:rsid w:val="008313C4"/>
    <w:rsid w:val="00834958"/>
    <w:rsid w:val="00834CFC"/>
    <w:rsid w:val="00837898"/>
    <w:rsid w:val="00847AFF"/>
    <w:rsid w:val="00871A26"/>
    <w:rsid w:val="00875A22"/>
    <w:rsid w:val="00881D9B"/>
    <w:rsid w:val="008820C8"/>
    <w:rsid w:val="00883D42"/>
    <w:rsid w:val="008B34AF"/>
    <w:rsid w:val="008B460B"/>
    <w:rsid w:val="008C42B9"/>
    <w:rsid w:val="008C5BE5"/>
    <w:rsid w:val="008D2535"/>
    <w:rsid w:val="008D6A53"/>
    <w:rsid w:val="008E1538"/>
    <w:rsid w:val="008E2BFB"/>
    <w:rsid w:val="008E4409"/>
    <w:rsid w:val="008E76FF"/>
    <w:rsid w:val="009027BF"/>
    <w:rsid w:val="00910184"/>
    <w:rsid w:val="00920444"/>
    <w:rsid w:val="00932A6C"/>
    <w:rsid w:val="00935572"/>
    <w:rsid w:val="00941380"/>
    <w:rsid w:val="00943E94"/>
    <w:rsid w:val="00953F92"/>
    <w:rsid w:val="0095658F"/>
    <w:rsid w:val="0095733F"/>
    <w:rsid w:val="00975972"/>
    <w:rsid w:val="00976A0F"/>
    <w:rsid w:val="009B1061"/>
    <w:rsid w:val="009C0B5A"/>
    <w:rsid w:val="009C3F2C"/>
    <w:rsid w:val="009C50BB"/>
    <w:rsid w:val="009D0B5E"/>
    <w:rsid w:val="009D11B8"/>
    <w:rsid w:val="009D5F85"/>
    <w:rsid w:val="009E7206"/>
    <w:rsid w:val="00A11C23"/>
    <w:rsid w:val="00A14371"/>
    <w:rsid w:val="00A30CC8"/>
    <w:rsid w:val="00A32FD9"/>
    <w:rsid w:val="00A427DE"/>
    <w:rsid w:val="00A42A03"/>
    <w:rsid w:val="00A43A8D"/>
    <w:rsid w:val="00A66C38"/>
    <w:rsid w:val="00A7584E"/>
    <w:rsid w:val="00A92AD4"/>
    <w:rsid w:val="00AB3554"/>
    <w:rsid w:val="00AB6086"/>
    <w:rsid w:val="00AC558E"/>
    <w:rsid w:val="00AD4C75"/>
    <w:rsid w:val="00AE32ED"/>
    <w:rsid w:val="00AE5625"/>
    <w:rsid w:val="00AE7FF6"/>
    <w:rsid w:val="00B00CDE"/>
    <w:rsid w:val="00B0171A"/>
    <w:rsid w:val="00B11A28"/>
    <w:rsid w:val="00B123D8"/>
    <w:rsid w:val="00B246C1"/>
    <w:rsid w:val="00B37BD0"/>
    <w:rsid w:val="00B37DDB"/>
    <w:rsid w:val="00B40F71"/>
    <w:rsid w:val="00B52489"/>
    <w:rsid w:val="00B559A3"/>
    <w:rsid w:val="00B71A72"/>
    <w:rsid w:val="00B83AF6"/>
    <w:rsid w:val="00B85DA8"/>
    <w:rsid w:val="00B90BC3"/>
    <w:rsid w:val="00BB7D88"/>
    <w:rsid w:val="00BC7406"/>
    <w:rsid w:val="00BE0453"/>
    <w:rsid w:val="00BE5444"/>
    <w:rsid w:val="00C03B2E"/>
    <w:rsid w:val="00C13C36"/>
    <w:rsid w:val="00C15EB7"/>
    <w:rsid w:val="00C1762C"/>
    <w:rsid w:val="00C24E17"/>
    <w:rsid w:val="00C25D36"/>
    <w:rsid w:val="00C25FC1"/>
    <w:rsid w:val="00C30B8F"/>
    <w:rsid w:val="00C35433"/>
    <w:rsid w:val="00C60FC4"/>
    <w:rsid w:val="00C61366"/>
    <w:rsid w:val="00C63BEA"/>
    <w:rsid w:val="00C64189"/>
    <w:rsid w:val="00C65F35"/>
    <w:rsid w:val="00CA6204"/>
    <w:rsid w:val="00CA774D"/>
    <w:rsid w:val="00CB63F6"/>
    <w:rsid w:val="00CD03F9"/>
    <w:rsid w:val="00CE0C91"/>
    <w:rsid w:val="00CE3A25"/>
    <w:rsid w:val="00CE3BE3"/>
    <w:rsid w:val="00CE41C4"/>
    <w:rsid w:val="00D16784"/>
    <w:rsid w:val="00D20834"/>
    <w:rsid w:val="00D21866"/>
    <w:rsid w:val="00D3704D"/>
    <w:rsid w:val="00D44241"/>
    <w:rsid w:val="00D44614"/>
    <w:rsid w:val="00D51411"/>
    <w:rsid w:val="00D53D6C"/>
    <w:rsid w:val="00D66C56"/>
    <w:rsid w:val="00D871E6"/>
    <w:rsid w:val="00D934AE"/>
    <w:rsid w:val="00DA2DE9"/>
    <w:rsid w:val="00DB0B87"/>
    <w:rsid w:val="00DC3E35"/>
    <w:rsid w:val="00DD65FF"/>
    <w:rsid w:val="00DE1483"/>
    <w:rsid w:val="00DE2CC4"/>
    <w:rsid w:val="00E021E9"/>
    <w:rsid w:val="00E23AE5"/>
    <w:rsid w:val="00E425C7"/>
    <w:rsid w:val="00E526D0"/>
    <w:rsid w:val="00E52E41"/>
    <w:rsid w:val="00E540FC"/>
    <w:rsid w:val="00E542BE"/>
    <w:rsid w:val="00E62CC4"/>
    <w:rsid w:val="00E75121"/>
    <w:rsid w:val="00E80235"/>
    <w:rsid w:val="00E83A63"/>
    <w:rsid w:val="00E853B2"/>
    <w:rsid w:val="00EA013B"/>
    <w:rsid w:val="00EC1D56"/>
    <w:rsid w:val="00EE62D5"/>
    <w:rsid w:val="00EE7D4E"/>
    <w:rsid w:val="00EF3080"/>
    <w:rsid w:val="00EF3B7D"/>
    <w:rsid w:val="00F019FE"/>
    <w:rsid w:val="00F0509E"/>
    <w:rsid w:val="00F10609"/>
    <w:rsid w:val="00F1481E"/>
    <w:rsid w:val="00F22C6B"/>
    <w:rsid w:val="00F22E84"/>
    <w:rsid w:val="00F32670"/>
    <w:rsid w:val="00F516E1"/>
    <w:rsid w:val="00F54CD5"/>
    <w:rsid w:val="00F562D3"/>
    <w:rsid w:val="00F575CB"/>
    <w:rsid w:val="00F6758C"/>
    <w:rsid w:val="00F67693"/>
    <w:rsid w:val="00F760CA"/>
    <w:rsid w:val="00F85760"/>
    <w:rsid w:val="00F8703D"/>
    <w:rsid w:val="00F901D4"/>
    <w:rsid w:val="00F913CA"/>
    <w:rsid w:val="00F91AFD"/>
    <w:rsid w:val="00F94180"/>
    <w:rsid w:val="00FA3B7E"/>
    <w:rsid w:val="00FB20BD"/>
    <w:rsid w:val="00FB4894"/>
    <w:rsid w:val="00FB739E"/>
    <w:rsid w:val="00FC3262"/>
    <w:rsid w:val="00FD4DC9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  <w:style w:type="paragraph" w:styleId="a9">
    <w:name w:val="footnote text"/>
    <w:basedOn w:val="a"/>
    <w:link w:val="Char4"/>
    <w:uiPriority w:val="99"/>
    <w:semiHidden/>
    <w:unhideWhenUsed/>
    <w:rsid w:val="00786820"/>
    <w:pPr>
      <w:snapToGrid w:val="0"/>
      <w:spacing w:before="40" w:after="4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78682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78682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665</Words>
  <Characters>3796</Characters>
  <Application>Microsoft Office Word</Application>
  <DocSecurity>0</DocSecurity>
  <Lines>31</Lines>
  <Paragraphs>8</Paragraphs>
  <ScaleCrop>false</ScaleCrop>
  <Company>Microsoft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huangjing</cp:lastModifiedBy>
  <cp:revision>3</cp:revision>
  <dcterms:created xsi:type="dcterms:W3CDTF">2019-06-18T08:57:00Z</dcterms:created>
  <dcterms:modified xsi:type="dcterms:W3CDTF">2019-06-18T09:02:00Z</dcterms:modified>
</cp:coreProperties>
</file>